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E" w:rsidRPr="003519B4" w:rsidRDefault="003519B4" w:rsidP="0072412E">
      <w:pPr>
        <w:rPr>
          <w:rFonts w:ascii="Arial" w:hAnsi="Arial" w:cs="Arial"/>
          <w:b/>
          <w:sz w:val="28"/>
        </w:rPr>
      </w:pPr>
      <w:r w:rsidRPr="003519B4">
        <w:rPr>
          <w:rFonts w:ascii="Arial" w:hAnsi="Arial" w:cs="Arial"/>
          <w:b/>
          <w:sz w:val="28"/>
        </w:rPr>
        <w:t>NEFROLOGIE</w:t>
      </w:r>
    </w:p>
    <w:p w:rsidR="0072412E" w:rsidRPr="003519B4" w:rsidRDefault="0072412E" w:rsidP="0072412E">
      <w:pPr>
        <w:rPr>
          <w:rFonts w:ascii="Arial" w:hAnsi="Arial" w:cs="Arial"/>
          <w:sz w:val="20"/>
        </w:rPr>
      </w:pPr>
      <w:r w:rsidRPr="003519B4">
        <w:rPr>
          <w:rFonts w:ascii="Arial" w:hAnsi="Arial" w:cs="Arial"/>
          <w:b/>
          <w:bCs/>
          <w:sz w:val="20"/>
        </w:rPr>
        <w:t>Opleider</w:t>
      </w:r>
      <w:r w:rsidRPr="003519B4">
        <w:rPr>
          <w:rFonts w:ascii="Arial" w:hAnsi="Arial" w:cs="Arial"/>
          <w:b/>
          <w:sz w:val="20"/>
        </w:rPr>
        <w:t>:</w:t>
      </w:r>
      <w:r w:rsidRPr="003519B4">
        <w:rPr>
          <w:rFonts w:ascii="Arial" w:hAnsi="Arial" w:cs="Arial"/>
          <w:sz w:val="20"/>
        </w:rPr>
        <w:t xml:space="preserve"> Dr. M</w:t>
      </w:r>
      <w:r w:rsidR="00063C5A" w:rsidRPr="003519B4">
        <w:rPr>
          <w:rFonts w:ascii="Arial" w:hAnsi="Arial" w:cs="Arial"/>
          <w:sz w:val="20"/>
        </w:rPr>
        <w:t>artijn</w:t>
      </w:r>
      <w:r w:rsidRPr="003519B4">
        <w:rPr>
          <w:rFonts w:ascii="Arial" w:hAnsi="Arial" w:cs="Arial"/>
          <w:sz w:val="20"/>
        </w:rPr>
        <w:t xml:space="preserve"> van den Hoogen</w:t>
      </w:r>
      <w:r w:rsidR="00063C5A" w:rsidRPr="003519B4">
        <w:rPr>
          <w:rFonts w:ascii="Arial" w:hAnsi="Arial" w:cs="Arial"/>
          <w:sz w:val="20"/>
        </w:rPr>
        <w:t xml:space="preserve"> (</w:t>
      </w:r>
      <w:hyperlink r:id="rId5" w:history="1">
        <w:r w:rsidR="00063C5A" w:rsidRPr="003519B4">
          <w:rPr>
            <w:rStyle w:val="Hyperlink"/>
            <w:rFonts w:ascii="Arial" w:hAnsi="Arial" w:cs="Arial"/>
            <w:sz w:val="20"/>
          </w:rPr>
          <w:t>m.vandenhoogen@erasmusmc.nl</w:t>
        </w:r>
      </w:hyperlink>
      <w:r w:rsidR="003519B4" w:rsidRPr="003519B4">
        <w:rPr>
          <w:rFonts w:ascii="Arial" w:hAnsi="Arial" w:cs="Arial"/>
          <w:sz w:val="20"/>
        </w:rPr>
        <w:t xml:space="preserve"> of </w:t>
      </w:r>
      <w:hyperlink r:id="rId6" w:history="1">
        <w:r w:rsidR="003519B4" w:rsidRPr="003C14F2">
          <w:rPr>
            <w:rStyle w:val="Hyperlink"/>
            <w:rFonts w:ascii="Arial" w:hAnsi="Arial" w:cs="Arial"/>
            <w:sz w:val="20"/>
          </w:rPr>
          <w:t>stafsecretariaat.nefrologie@erasmusmc.nl</w:t>
        </w:r>
      </w:hyperlink>
      <w:r w:rsidR="003519B4">
        <w:rPr>
          <w:rFonts w:ascii="Arial" w:hAnsi="Arial" w:cs="Arial"/>
          <w:sz w:val="20"/>
        </w:rPr>
        <w:t xml:space="preserve">) </w:t>
      </w:r>
      <w:r w:rsidR="00063C5A" w:rsidRPr="003519B4">
        <w:rPr>
          <w:rFonts w:ascii="Arial" w:hAnsi="Arial" w:cs="Arial"/>
          <w:sz w:val="20"/>
        </w:rPr>
        <w:t xml:space="preserve"> </w:t>
      </w:r>
    </w:p>
    <w:p w:rsidR="0072412E" w:rsidRPr="003519B4" w:rsidRDefault="0072412E" w:rsidP="0072412E">
      <w:pPr>
        <w:rPr>
          <w:rFonts w:ascii="Arial" w:hAnsi="Arial" w:cs="Arial"/>
          <w:sz w:val="20"/>
        </w:rPr>
      </w:pPr>
      <w:r w:rsidRPr="003519B4">
        <w:rPr>
          <w:rFonts w:ascii="Arial" w:hAnsi="Arial" w:cs="Arial"/>
          <w:b/>
          <w:bCs/>
          <w:sz w:val="20"/>
        </w:rPr>
        <w:t>Opleidingsplan</w:t>
      </w:r>
      <w:r w:rsidRPr="003519B4">
        <w:rPr>
          <w:rFonts w:ascii="Arial" w:hAnsi="Arial" w:cs="Arial"/>
          <w:b/>
          <w:sz w:val="20"/>
        </w:rPr>
        <w:t>:</w:t>
      </w:r>
      <w:r w:rsidRPr="003519B4">
        <w:rPr>
          <w:rFonts w:ascii="Arial" w:hAnsi="Arial" w:cs="Arial"/>
          <w:sz w:val="20"/>
        </w:rPr>
        <w:t> </w:t>
      </w:r>
      <w:r w:rsidR="003519B4" w:rsidRPr="003519B4">
        <w:rPr>
          <w:rFonts w:ascii="Arial" w:hAnsi="Arial" w:cs="Arial"/>
          <w:sz w:val="20"/>
        </w:rPr>
        <w:t>versie augustus 2023</w:t>
      </w:r>
      <w:r w:rsidR="003519B4">
        <w:rPr>
          <w:rFonts w:ascii="Arial" w:hAnsi="Arial" w:cs="Arial"/>
          <w:sz w:val="20"/>
        </w:rPr>
        <w:t>, op te vragen bij staf secretariaat</w:t>
      </w:r>
    </w:p>
    <w:p w:rsidR="0072412E" w:rsidRPr="003519B4" w:rsidRDefault="0072412E" w:rsidP="0072412E">
      <w:pPr>
        <w:rPr>
          <w:rFonts w:ascii="Arial" w:hAnsi="Arial" w:cs="Arial"/>
        </w:rPr>
      </w:pPr>
      <w:r w:rsidRPr="003519B4">
        <w:rPr>
          <w:rFonts w:ascii="Arial" w:hAnsi="Arial" w:cs="Arial"/>
          <w:b/>
          <w:bCs/>
          <w:sz w:val="20"/>
        </w:rPr>
        <w:t>Sollicitatieprocedure</w:t>
      </w:r>
      <w:r w:rsidRPr="003519B4">
        <w:rPr>
          <w:rFonts w:ascii="Arial" w:hAnsi="Arial" w:cs="Arial"/>
          <w:b/>
          <w:sz w:val="20"/>
        </w:rPr>
        <w:t>:</w:t>
      </w:r>
      <w:r w:rsidRPr="003519B4">
        <w:rPr>
          <w:rFonts w:ascii="Arial" w:hAnsi="Arial" w:cs="Arial"/>
          <w:sz w:val="20"/>
        </w:rPr>
        <w:t xml:space="preserve"> </w:t>
      </w:r>
      <w:r w:rsidR="006A00B5" w:rsidRPr="003519B4">
        <w:rPr>
          <w:rFonts w:ascii="Arial" w:hAnsi="Arial" w:cs="Arial"/>
          <w:sz w:val="20"/>
        </w:rPr>
        <w:t>G</w:t>
      </w:r>
      <w:r w:rsidRPr="003519B4">
        <w:rPr>
          <w:rFonts w:ascii="Arial" w:hAnsi="Arial" w:cs="Arial"/>
          <w:sz w:val="20"/>
        </w:rPr>
        <w:t>eïnteresseerde aios ku</w:t>
      </w:r>
      <w:r w:rsidR="006A00B5" w:rsidRPr="003519B4">
        <w:rPr>
          <w:rFonts w:ascii="Arial" w:hAnsi="Arial" w:cs="Arial"/>
          <w:sz w:val="20"/>
        </w:rPr>
        <w:t>nnen</w:t>
      </w:r>
      <w:r w:rsidRPr="003519B4">
        <w:rPr>
          <w:rFonts w:ascii="Arial" w:hAnsi="Arial" w:cs="Arial"/>
          <w:sz w:val="20"/>
        </w:rPr>
        <w:t xml:space="preserve"> contact opnemen met de opleider, preferentieel ruim</w:t>
      </w:r>
      <w:r w:rsidR="00065BF7" w:rsidRPr="003519B4">
        <w:rPr>
          <w:rFonts w:ascii="Arial" w:hAnsi="Arial" w:cs="Arial"/>
          <w:sz w:val="20"/>
        </w:rPr>
        <w:t xml:space="preserve"> (1-2 jaar)</w:t>
      </w:r>
      <w:r w:rsidRPr="003519B4">
        <w:rPr>
          <w:rFonts w:ascii="Arial" w:hAnsi="Arial" w:cs="Arial"/>
          <w:sz w:val="20"/>
        </w:rPr>
        <w:t xml:space="preserve"> voor start</w:t>
      </w:r>
      <w:r w:rsidR="00065BF7" w:rsidRPr="003519B4">
        <w:rPr>
          <w:rFonts w:ascii="Arial" w:hAnsi="Arial" w:cs="Arial"/>
          <w:sz w:val="20"/>
        </w:rPr>
        <w:t xml:space="preserve"> van de</w:t>
      </w:r>
      <w:r w:rsidRPr="003519B4">
        <w:rPr>
          <w:rFonts w:ascii="Arial" w:hAnsi="Arial" w:cs="Arial"/>
          <w:sz w:val="20"/>
        </w:rPr>
        <w:t xml:space="preserve"> differentiatie</w:t>
      </w:r>
      <w:r w:rsidR="006A00B5" w:rsidRPr="003519B4">
        <w:rPr>
          <w:rFonts w:ascii="Arial" w:hAnsi="Arial" w:cs="Arial"/>
          <w:sz w:val="20"/>
        </w:rPr>
        <w:t xml:space="preserve"> om optimaal aan te sluiten op jouw wensen.</w:t>
      </w:r>
    </w:p>
    <w:p w:rsidR="0072412E" w:rsidRPr="003519B4" w:rsidRDefault="0072412E" w:rsidP="0072412E">
      <w:pPr>
        <w:rPr>
          <w:rFonts w:ascii="Arial" w:hAnsi="Arial" w:cs="Arial"/>
        </w:rPr>
      </w:pPr>
    </w:p>
    <w:p w:rsidR="0072412E" w:rsidRPr="003519B4" w:rsidRDefault="0072412E" w:rsidP="0072412E">
      <w:pPr>
        <w:rPr>
          <w:rFonts w:ascii="Arial" w:hAnsi="Arial" w:cs="Arial"/>
          <w:b/>
          <w:caps/>
          <w:sz w:val="24"/>
        </w:rPr>
      </w:pPr>
      <w:r w:rsidRPr="003519B4">
        <w:rPr>
          <w:rFonts w:ascii="Arial" w:hAnsi="Arial" w:cs="Arial"/>
          <w:b/>
          <w:caps/>
          <w:sz w:val="24"/>
        </w:rPr>
        <w:t>Kernpunten differentiatie nefrologie in regio Rotterdam</w:t>
      </w:r>
    </w:p>
    <w:p w:rsidR="00063C5A" w:rsidRPr="003519B4" w:rsidRDefault="00063C5A" w:rsidP="0072412E">
      <w:pPr>
        <w:rPr>
          <w:rFonts w:ascii="Arial" w:hAnsi="Arial" w:cs="Arial"/>
          <w:sz w:val="20"/>
          <w:szCs w:val="20"/>
        </w:rPr>
      </w:pPr>
      <w:r w:rsidRPr="003519B4">
        <w:rPr>
          <w:rFonts w:ascii="Arial" w:hAnsi="Arial" w:cs="Arial"/>
          <w:b/>
          <w:sz w:val="20"/>
          <w:szCs w:val="20"/>
        </w:rPr>
        <w:t xml:space="preserve">Type differentiatie: </w:t>
      </w:r>
      <w:r w:rsidRPr="003519B4">
        <w:rPr>
          <w:rFonts w:ascii="Arial" w:hAnsi="Arial" w:cs="Arial"/>
          <w:sz w:val="20"/>
          <w:szCs w:val="20"/>
        </w:rPr>
        <w:t>er wordt alleen een enkelvoudige differentiatie aangeboden. Wel kan, als vrije stages binnen andere differentiaties (bijv. acute geneeskunde) een korte stage nefrologie gevolgd worden.</w:t>
      </w:r>
    </w:p>
    <w:p w:rsidR="0072412E" w:rsidRPr="003519B4" w:rsidRDefault="0072412E" w:rsidP="0072412E">
      <w:pPr>
        <w:rPr>
          <w:rFonts w:ascii="Arial" w:hAnsi="Arial" w:cs="Arial"/>
          <w:sz w:val="20"/>
          <w:szCs w:val="20"/>
        </w:rPr>
      </w:pPr>
      <w:r w:rsidRPr="003519B4">
        <w:rPr>
          <w:rFonts w:ascii="Arial" w:hAnsi="Arial" w:cs="Arial"/>
          <w:b/>
          <w:sz w:val="20"/>
          <w:szCs w:val="20"/>
        </w:rPr>
        <w:t>Duur van de differentiatie:</w:t>
      </w:r>
      <w:r w:rsidRPr="003519B4">
        <w:rPr>
          <w:rFonts w:ascii="Arial" w:hAnsi="Arial" w:cs="Arial"/>
          <w:sz w:val="20"/>
          <w:szCs w:val="20"/>
        </w:rPr>
        <w:t xml:space="preserve"> 24 maanden fulltime of 28 maanden parttime (0.85 FTE)</w:t>
      </w:r>
      <w:r w:rsidR="003519B4" w:rsidRPr="003519B4">
        <w:rPr>
          <w:rFonts w:ascii="Arial" w:hAnsi="Arial" w:cs="Arial"/>
          <w:sz w:val="20"/>
          <w:szCs w:val="20"/>
        </w:rPr>
        <w:t>. In beide gevallen wordt 20% van de tijd wordt besteed aan algemene interne geneeskunde in de vorm van diensten</w:t>
      </w:r>
    </w:p>
    <w:p w:rsidR="00537314" w:rsidRPr="003519B4" w:rsidRDefault="00537314" w:rsidP="00537314">
      <w:pPr>
        <w:rPr>
          <w:rFonts w:ascii="Arial" w:hAnsi="Arial" w:cs="Arial"/>
          <w:sz w:val="20"/>
          <w:szCs w:val="20"/>
        </w:rPr>
      </w:pPr>
      <w:r w:rsidRPr="003519B4">
        <w:rPr>
          <w:rFonts w:ascii="Arial" w:hAnsi="Arial" w:cs="Arial"/>
          <w:b/>
          <w:sz w:val="20"/>
          <w:szCs w:val="20"/>
        </w:rPr>
        <w:t xml:space="preserve">Profilering tijdens differentiatie: </w:t>
      </w:r>
      <w:r w:rsidRPr="003519B4">
        <w:rPr>
          <w:rFonts w:ascii="Arial" w:hAnsi="Arial" w:cs="Arial"/>
          <w:sz w:val="20"/>
          <w:szCs w:val="20"/>
        </w:rPr>
        <w:t>Er is tijd en ruimte voor profilering en dit wordt gestimuleerd (bijv. onderzoek, kwaliteit, innovatie of onderwijs).</w:t>
      </w:r>
    </w:p>
    <w:p w:rsidR="0072412E" w:rsidRPr="003519B4" w:rsidRDefault="0072412E" w:rsidP="0072412E">
      <w:pPr>
        <w:rPr>
          <w:rFonts w:ascii="Arial" w:hAnsi="Arial" w:cs="Arial"/>
          <w:sz w:val="20"/>
          <w:szCs w:val="20"/>
        </w:rPr>
      </w:pPr>
      <w:r w:rsidRPr="003519B4">
        <w:rPr>
          <w:rFonts w:ascii="Arial" w:hAnsi="Arial" w:cs="Arial"/>
          <w:b/>
          <w:sz w:val="20"/>
          <w:szCs w:val="20"/>
        </w:rPr>
        <w:t>Stages:</w:t>
      </w:r>
      <w:r w:rsidRPr="003519B4">
        <w:rPr>
          <w:rFonts w:ascii="Arial" w:hAnsi="Arial" w:cs="Arial"/>
          <w:sz w:val="20"/>
          <w:szCs w:val="20"/>
        </w:rPr>
        <w:t xml:space="preserve"> </w:t>
      </w:r>
      <w:r w:rsidR="003519B4">
        <w:rPr>
          <w:rFonts w:ascii="Arial" w:hAnsi="Arial" w:cs="Arial"/>
          <w:sz w:val="20"/>
          <w:szCs w:val="20"/>
        </w:rPr>
        <w:t>C</w:t>
      </w:r>
      <w:r w:rsidR="00530C48" w:rsidRPr="003519B4">
        <w:rPr>
          <w:rFonts w:ascii="Arial" w:hAnsi="Arial" w:cs="Arial"/>
          <w:sz w:val="20"/>
          <w:szCs w:val="20"/>
        </w:rPr>
        <w:t xml:space="preserve">onsulten en acute dialyse, chronische dialyse, transplantatie, perifere stage, </w:t>
      </w:r>
      <w:r w:rsidRPr="003519B4">
        <w:rPr>
          <w:rFonts w:ascii="Arial" w:hAnsi="Arial" w:cs="Arial"/>
          <w:sz w:val="20"/>
          <w:szCs w:val="20"/>
        </w:rPr>
        <w:t xml:space="preserve">leerlijn </w:t>
      </w:r>
      <w:r w:rsidR="003519B4" w:rsidRPr="003519B4">
        <w:rPr>
          <w:rFonts w:ascii="Arial" w:hAnsi="Arial" w:cs="Arial"/>
          <w:sz w:val="20"/>
          <w:szCs w:val="20"/>
        </w:rPr>
        <w:t>beoordeling niertransplantatie ontvangers en donoren</w:t>
      </w:r>
      <w:r w:rsidR="00530C48" w:rsidRPr="003519B4">
        <w:rPr>
          <w:rFonts w:ascii="Arial" w:hAnsi="Arial" w:cs="Arial"/>
          <w:sz w:val="20"/>
          <w:szCs w:val="20"/>
        </w:rPr>
        <w:t xml:space="preserve"> en diensten</w:t>
      </w:r>
      <w:r w:rsidRPr="003519B4">
        <w:rPr>
          <w:rFonts w:ascii="Arial" w:hAnsi="Arial" w:cs="Arial"/>
          <w:sz w:val="20"/>
          <w:szCs w:val="20"/>
        </w:rPr>
        <w:t>. Gedurende de hele opleiding wordt klinisch en poliklinisch werken gecombineerd.</w:t>
      </w:r>
    </w:p>
    <w:p w:rsidR="0072412E" w:rsidRPr="003519B4" w:rsidRDefault="0072412E" w:rsidP="0072412E">
      <w:pPr>
        <w:rPr>
          <w:rFonts w:ascii="Arial" w:hAnsi="Arial" w:cs="Arial"/>
          <w:sz w:val="20"/>
          <w:szCs w:val="20"/>
        </w:rPr>
      </w:pPr>
      <w:r w:rsidRPr="003519B4">
        <w:rPr>
          <w:rFonts w:ascii="Arial" w:hAnsi="Arial" w:cs="Arial"/>
          <w:b/>
          <w:sz w:val="20"/>
          <w:szCs w:val="20"/>
        </w:rPr>
        <w:t>Perifere stages:</w:t>
      </w:r>
      <w:r w:rsidRPr="003519B4">
        <w:rPr>
          <w:rFonts w:ascii="Arial" w:hAnsi="Arial" w:cs="Arial"/>
          <w:sz w:val="20"/>
          <w:szCs w:val="20"/>
        </w:rPr>
        <w:t xml:space="preserve"> Maasstad ziekenhuis of Franciscus Gasthuis &amp; Vlietland, locatie Gasthuis</w:t>
      </w:r>
      <w:r w:rsidR="003519B4">
        <w:rPr>
          <w:rFonts w:ascii="Arial" w:hAnsi="Arial" w:cs="Arial"/>
          <w:sz w:val="20"/>
          <w:szCs w:val="20"/>
        </w:rPr>
        <w:t>, b</w:t>
      </w:r>
      <w:r w:rsidRPr="003519B4">
        <w:rPr>
          <w:rFonts w:ascii="Arial" w:hAnsi="Arial" w:cs="Arial"/>
          <w:sz w:val="20"/>
          <w:szCs w:val="20"/>
        </w:rPr>
        <w:t xml:space="preserve">eiden </w:t>
      </w:r>
      <w:r w:rsidR="003519B4" w:rsidRPr="003519B4">
        <w:rPr>
          <w:rFonts w:ascii="Arial" w:hAnsi="Arial" w:cs="Arial"/>
          <w:sz w:val="20"/>
          <w:szCs w:val="20"/>
        </w:rPr>
        <w:t>6 ± 2</w:t>
      </w:r>
      <w:r w:rsidRPr="003519B4">
        <w:rPr>
          <w:rFonts w:ascii="Arial" w:hAnsi="Arial" w:cs="Arial"/>
          <w:sz w:val="20"/>
          <w:szCs w:val="20"/>
        </w:rPr>
        <w:t xml:space="preserve"> maanden (fulltime of parttime)</w:t>
      </w:r>
      <w:r w:rsidR="003519B4">
        <w:rPr>
          <w:rFonts w:ascii="Arial" w:hAnsi="Arial" w:cs="Arial"/>
          <w:sz w:val="20"/>
          <w:szCs w:val="20"/>
        </w:rPr>
        <w:t>.</w:t>
      </w:r>
    </w:p>
    <w:p w:rsidR="0072412E" w:rsidRPr="003519B4" w:rsidRDefault="0072412E" w:rsidP="0072412E">
      <w:pPr>
        <w:rPr>
          <w:rFonts w:ascii="Arial" w:hAnsi="Arial" w:cs="Arial"/>
          <w:sz w:val="20"/>
          <w:szCs w:val="20"/>
        </w:rPr>
      </w:pPr>
      <w:r w:rsidRPr="003519B4">
        <w:rPr>
          <w:rFonts w:ascii="Arial" w:hAnsi="Arial" w:cs="Arial"/>
          <w:b/>
          <w:sz w:val="20"/>
          <w:szCs w:val="20"/>
        </w:rPr>
        <w:t>Tussendiensten:</w:t>
      </w:r>
      <w:r w:rsidRPr="003519B4">
        <w:rPr>
          <w:rFonts w:ascii="Arial" w:hAnsi="Arial" w:cs="Arial"/>
          <w:sz w:val="20"/>
          <w:szCs w:val="20"/>
        </w:rPr>
        <w:t xml:space="preserve"> </w:t>
      </w:r>
      <w:r w:rsidR="003519B4" w:rsidRPr="003519B4">
        <w:rPr>
          <w:rFonts w:ascii="Arial" w:hAnsi="Arial" w:cs="Arial"/>
          <w:sz w:val="20"/>
          <w:szCs w:val="20"/>
        </w:rPr>
        <w:t xml:space="preserve">Gedurende de hele differentiatie (vanaf maand 2) doet de nefroloog in opleiding, naast de reguliere diensten als aios interne geneeskunde, als tussenwacht dienst voor de nefrologie/transplantatie, hierbij gesuperviseerd door een staflid. </w:t>
      </w:r>
      <w:r w:rsidR="00B57BBA" w:rsidRPr="003519B4">
        <w:rPr>
          <w:rFonts w:ascii="Arial" w:hAnsi="Arial" w:cs="Arial"/>
          <w:sz w:val="20"/>
          <w:szCs w:val="20"/>
        </w:rPr>
        <w:t>Per 4 maanden gaat het om 5 door-de-</w:t>
      </w:r>
      <w:proofErr w:type="spellStart"/>
      <w:r w:rsidR="00B57BBA" w:rsidRPr="003519B4">
        <w:rPr>
          <w:rFonts w:ascii="Arial" w:hAnsi="Arial" w:cs="Arial"/>
          <w:sz w:val="20"/>
          <w:szCs w:val="20"/>
        </w:rPr>
        <w:t>weekse</w:t>
      </w:r>
      <w:proofErr w:type="spellEnd"/>
      <w:r w:rsidR="00B57BBA" w:rsidRPr="003519B4">
        <w:rPr>
          <w:rFonts w:ascii="Arial" w:hAnsi="Arial" w:cs="Arial"/>
          <w:sz w:val="20"/>
          <w:szCs w:val="20"/>
        </w:rPr>
        <w:t xml:space="preserve"> diensten en 4 maal een dag dienst in het weekend.</w:t>
      </w:r>
    </w:p>
    <w:p w:rsidR="00537314" w:rsidRPr="003519B4" w:rsidRDefault="00537314" w:rsidP="00537314">
      <w:pPr>
        <w:rPr>
          <w:rFonts w:ascii="Arial" w:hAnsi="Arial" w:cs="Arial"/>
          <w:sz w:val="20"/>
          <w:szCs w:val="20"/>
        </w:rPr>
      </w:pPr>
      <w:r w:rsidRPr="003519B4">
        <w:rPr>
          <w:rFonts w:ascii="Arial" w:hAnsi="Arial" w:cs="Arial"/>
          <w:b/>
          <w:sz w:val="20"/>
          <w:szCs w:val="20"/>
        </w:rPr>
        <w:t>Diversiteit differentiatie:</w:t>
      </w:r>
      <w:r w:rsidRPr="003519B4">
        <w:rPr>
          <w:rFonts w:ascii="Arial" w:hAnsi="Arial" w:cs="Arial"/>
          <w:sz w:val="20"/>
          <w:szCs w:val="20"/>
        </w:rPr>
        <w:t xml:space="preserve"> </w:t>
      </w:r>
      <w:r>
        <w:rPr>
          <w:rFonts w:ascii="Arial" w:hAnsi="Arial" w:cs="Arial"/>
          <w:sz w:val="20"/>
          <w:szCs w:val="20"/>
        </w:rPr>
        <w:t>W</w:t>
      </w:r>
      <w:r w:rsidRPr="003519B4">
        <w:rPr>
          <w:rFonts w:ascii="Arial" w:hAnsi="Arial" w:cs="Arial"/>
          <w:sz w:val="20"/>
          <w:szCs w:val="20"/>
        </w:rPr>
        <w:t xml:space="preserve">e selecteren onze nefrologen in opleiding op interesse in het vak </w:t>
      </w:r>
      <w:r>
        <w:rPr>
          <w:rFonts w:ascii="Arial" w:hAnsi="Arial" w:cs="Arial"/>
          <w:sz w:val="20"/>
          <w:szCs w:val="20"/>
        </w:rPr>
        <w:t>en bewezen goed functioneren als</w:t>
      </w:r>
      <w:r w:rsidRPr="003519B4">
        <w:rPr>
          <w:rFonts w:ascii="Arial" w:hAnsi="Arial" w:cs="Arial"/>
          <w:sz w:val="20"/>
          <w:szCs w:val="20"/>
        </w:rPr>
        <w:t xml:space="preserve"> aios, ongeacht geslacht of gender, etniciteit of seksuele geaardheid. Iedereen die daaraan voldoet is welkom in ons team. Van de 13 nefrologen die hun opleiding hebben afgerond sinds 2020 zijn er 5 vrouw en 8 man en 3 zijn niet in Nederland geboren of hebben niet-Nederlandse ouders. </w:t>
      </w:r>
    </w:p>
    <w:p w:rsidR="00537314" w:rsidRDefault="00537314" w:rsidP="00537314">
      <w:pPr>
        <w:rPr>
          <w:rFonts w:ascii="Arial" w:hAnsi="Arial" w:cs="Arial"/>
          <w:sz w:val="20"/>
          <w:szCs w:val="20"/>
        </w:rPr>
      </w:pPr>
      <w:r>
        <w:rPr>
          <w:rFonts w:ascii="Arial" w:hAnsi="Arial" w:cs="Arial"/>
          <w:b/>
          <w:sz w:val="20"/>
          <w:szCs w:val="20"/>
        </w:rPr>
        <w:t>Vitaliteit differentiatie</w:t>
      </w:r>
      <w:r w:rsidRPr="003519B4">
        <w:rPr>
          <w:rFonts w:ascii="Arial" w:hAnsi="Arial" w:cs="Arial"/>
          <w:b/>
          <w:sz w:val="20"/>
          <w:szCs w:val="20"/>
        </w:rPr>
        <w:t xml:space="preserve">: </w:t>
      </w:r>
      <w:r w:rsidRPr="00ED79C3">
        <w:rPr>
          <w:rFonts w:ascii="Arial" w:hAnsi="Arial" w:cs="Arial"/>
          <w:sz w:val="20"/>
          <w:szCs w:val="20"/>
        </w:rPr>
        <w:t>De vitaliteit van de nefroloog in opleiding vinden we belangrijk. Dat begint met de instelling dat je onderdeel bent van ons team (naast stafartsen</w:t>
      </w:r>
      <w:r>
        <w:rPr>
          <w:rFonts w:ascii="Arial" w:hAnsi="Arial" w:cs="Arial"/>
          <w:sz w:val="20"/>
          <w:szCs w:val="20"/>
        </w:rPr>
        <w:t xml:space="preserve">, </w:t>
      </w:r>
      <w:r w:rsidRPr="00ED79C3">
        <w:rPr>
          <w:rFonts w:ascii="Arial" w:hAnsi="Arial" w:cs="Arial"/>
          <w:sz w:val="20"/>
          <w:szCs w:val="20"/>
        </w:rPr>
        <w:t>verpleegkundig specialisten</w:t>
      </w:r>
      <w:r>
        <w:rPr>
          <w:rFonts w:ascii="Arial" w:hAnsi="Arial" w:cs="Arial"/>
          <w:sz w:val="20"/>
          <w:szCs w:val="20"/>
        </w:rPr>
        <w:t xml:space="preserve"> en </w:t>
      </w:r>
      <w:proofErr w:type="spellStart"/>
      <w:r w:rsidRPr="00ED79C3">
        <w:rPr>
          <w:rFonts w:ascii="Arial" w:hAnsi="Arial" w:cs="Arial"/>
          <w:sz w:val="20"/>
          <w:szCs w:val="20"/>
        </w:rPr>
        <w:t>physician</w:t>
      </w:r>
      <w:proofErr w:type="spellEnd"/>
      <w:r w:rsidRPr="00ED79C3">
        <w:rPr>
          <w:rFonts w:ascii="Arial" w:hAnsi="Arial" w:cs="Arial"/>
          <w:sz w:val="20"/>
          <w:szCs w:val="20"/>
        </w:rPr>
        <w:t xml:space="preserve"> </w:t>
      </w:r>
      <w:proofErr w:type="spellStart"/>
      <w:r w:rsidRPr="00ED79C3">
        <w:rPr>
          <w:rFonts w:ascii="Arial" w:hAnsi="Arial" w:cs="Arial"/>
          <w:sz w:val="20"/>
          <w:szCs w:val="20"/>
        </w:rPr>
        <w:t>assistant</w:t>
      </w:r>
      <w:r>
        <w:rPr>
          <w:rFonts w:ascii="Arial" w:hAnsi="Arial" w:cs="Arial"/>
          <w:sz w:val="20"/>
          <w:szCs w:val="20"/>
        </w:rPr>
        <w:t>s</w:t>
      </w:r>
      <w:proofErr w:type="spellEnd"/>
      <w:r w:rsidRPr="00ED79C3">
        <w:rPr>
          <w:rFonts w:ascii="Arial" w:hAnsi="Arial" w:cs="Arial"/>
          <w:sz w:val="20"/>
          <w:szCs w:val="20"/>
        </w:rPr>
        <w:t xml:space="preserve">). Coaching middels het Challenge &amp; Support programma wordt nadrukkelijk aanbevolen en daarvoor krijg je tijd en ruimte. De werkbelasting wordt tijdens elke vergadering met de nefrologen in opleiding expliciet besproken. Daarnaast wordt er ruim vooruit gepland zodat geanticipeerd kan worden op tekorten. De stafleden nemen hierbij regelmatig taken over. </w:t>
      </w:r>
      <w:r>
        <w:rPr>
          <w:rFonts w:ascii="Arial" w:hAnsi="Arial" w:cs="Arial"/>
          <w:sz w:val="20"/>
          <w:szCs w:val="20"/>
        </w:rPr>
        <w:t>E</w:t>
      </w:r>
      <w:r w:rsidRPr="00ED79C3">
        <w:rPr>
          <w:rFonts w:ascii="Arial" w:hAnsi="Arial" w:cs="Arial"/>
          <w:sz w:val="20"/>
          <w:szCs w:val="20"/>
        </w:rPr>
        <w:t>lke maandagochtend</w:t>
      </w:r>
      <w:r>
        <w:rPr>
          <w:rFonts w:ascii="Arial" w:hAnsi="Arial" w:cs="Arial"/>
          <w:sz w:val="20"/>
          <w:szCs w:val="20"/>
        </w:rPr>
        <w:t xml:space="preserve"> wordt</w:t>
      </w:r>
      <w:r w:rsidRPr="00ED79C3">
        <w:rPr>
          <w:rFonts w:ascii="Arial" w:hAnsi="Arial" w:cs="Arial"/>
          <w:sz w:val="20"/>
          <w:szCs w:val="20"/>
        </w:rPr>
        <w:t>, na de overdracht, gezamenlijke het rooster bekeken en kunnen afhankelijk van de daadwerkelijke drukte nog aanvullende aanpassingen worden verricht om een optimale werkbelasting na te streven.</w:t>
      </w:r>
    </w:p>
    <w:p w:rsidR="00537314" w:rsidRDefault="00537314" w:rsidP="00063C5A">
      <w:pPr>
        <w:rPr>
          <w:rFonts w:ascii="Arial" w:hAnsi="Arial" w:cs="Arial"/>
          <w:b/>
          <w:sz w:val="20"/>
          <w:szCs w:val="20"/>
        </w:rPr>
      </w:pPr>
      <w:r w:rsidRPr="00ED79C3">
        <w:rPr>
          <w:rFonts w:ascii="Arial" w:hAnsi="Arial" w:cs="Arial"/>
          <w:sz w:val="20"/>
          <w:szCs w:val="20"/>
        </w:rPr>
        <w:t xml:space="preserve">Er worden diverse initiatieven ondernomen om te ontspannen. Naast alle </w:t>
      </w:r>
      <w:proofErr w:type="spellStart"/>
      <w:r w:rsidRPr="00ED79C3">
        <w:rPr>
          <w:rFonts w:ascii="Arial" w:hAnsi="Arial" w:cs="Arial"/>
          <w:sz w:val="20"/>
          <w:szCs w:val="20"/>
        </w:rPr>
        <w:t>afdelingsbrede</w:t>
      </w:r>
      <w:proofErr w:type="spellEnd"/>
      <w:r w:rsidRPr="00ED79C3">
        <w:rPr>
          <w:rFonts w:ascii="Arial" w:hAnsi="Arial" w:cs="Arial"/>
          <w:sz w:val="20"/>
          <w:szCs w:val="20"/>
        </w:rPr>
        <w:t xml:space="preserve"> initiatieven van de interne geneeskunde bestaat er een rijk scala van sociale activiteiten, zoals dineren na de refereeravond, jaarlijkse midzomer afdelingsbarbecue, jaarlijks </w:t>
      </w:r>
      <w:proofErr w:type="spellStart"/>
      <w:r w:rsidRPr="00ED79C3">
        <w:rPr>
          <w:rFonts w:ascii="Arial" w:hAnsi="Arial" w:cs="Arial"/>
          <w:sz w:val="20"/>
          <w:szCs w:val="20"/>
        </w:rPr>
        <w:t>nieuwjaarsdiner</w:t>
      </w:r>
      <w:proofErr w:type="spellEnd"/>
      <w:r w:rsidRPr="00ED79C3">
        <w:rPr>
          <w:rFonts w:ascii="Arial" w:hAnsi="Arial" w:cs="Arial"/>
          <w:sz w:val="20"/>
          <w:szCs w:val="20"/>
        </w:rPr>
        <w:t xml:space="preserve">, jaarlijks diner na opleidingsvergadering, het vieren van successen, gezamenlijke participatie in de Rotterdam marathon, </w:t>
      </w:r>
      <w:r w:rsidRPr="00ED79C3">
        <w:rPr>
          <w:rFonts w:ascii="Arial" w:hAnsi="Arial" w:cs="Arial"/>
          <w:sz w:val="20"/>
          <w:szCs w:val="20"/>
        </w:rPr>
        <w:lastRenderedPageBreak/>
        <w:t>regelmatige borrel vrijdagmiddag, etc. Tot slot staan we expliciet stil bij het begin en het einde van je opleiding.</w:t>
      </w:r>
    </w:p>
    <w:p w:rsidR="00537314" w:rsidRPr="003519B4" w:rsidRDefault="00537314" w:rsidP="00537314">
      <w:pPr>
        <w:rPr>
          <w:rFonts w:ascii="Arial" w:hAnsi="Arial" w:cs="Arial"/>
          <w:b/>
          <w:sz w:val="20"/>
          <w:szCs w:val="20"/>
        </w:rPr>
      </w:pPr>
      <w:r w:rsidRPr="003519B4">
        <w:rPr>
          <w:rFonts w:ascii="Arial" w:hAnsi="Arial" w:cs="Arial"/>
          <w:b/>
          <w:sz w:val="20"/>
          <w:szCs w:val="20"/>
        </w:rPr>
        <w:t>Sterke punten opleiding volgens meest recente visitatie rapport uit 2019</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De differentiatie nefrologie kenmerkt zich als een Rotterdamse opleiding. Er wordt hard gewerkt in het Erasmus Medisch Centrum en de differentianten ‘staan hun mannetje’.</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Er is veel expositie aan transplantatie en dialyse patiënten.</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De differentianten krijgen de ruimte om kritisch te zijn en verbeterpunten aan te dragen. Autonoom handelen en denken wordt gestimuleerd. Er heerst een veilig opleidingsklimaat.</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De supervisie is adequaat en laagdrempelig georganiseerd. Met name tijdens de diensten is de supervisor laagdrempelig bereikbaar en komt in het weekend in huis.</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De perifere stage in het Maasstad Ziekenhuis wordt zeer gewaardeerd door de differentianten.</w:t>
      </w:r>
    </w:p>
    <w:p w:rsidR="00537314" w:rsidRPr="003519B4" w:rsidRDefault="00537314" w:rsidP="00537314">
      <w:pPr>
        <w:pStyle w:val="Lijstalinea"/>
        <w:numPr>
          <w:ilvl w:val="0"/>
          <w:numId w:val="1"/>
        </w:numPr>
        <w:rPr>
          <w:rFonts w:ascii="Arial" w:hAnsi="Arial" w:cs="Arial"/>
          <w:sz w:val="20"/>
          <w:szCs w:val="20"/>
        </w:rPr>
      </w:pPr>
      <w:r w:rsidRPr="003519B4">
        <w:rPr>
          <w:rFonts w:ascii="Arial" w:hAnsi="Arial" w:cs="Arial"/>
          <w:sz w:val="20"/>
          <w:szCs w:val="20"/>
        </w:rPr>
        <w:t>De leden van de opleidingsgroep zijn enthousiast en opleidingsgericht.</w:t>
      </w:r>
    </w:p>
    <w:p w:rsidR="00537314" w:rsidRPr="003519B4" w:rsidRDefault="00537314" w:rsidP="00537314">
      <w:pPr>
        <w:rPr>
          <w:rFonts w:ascii="Arial" w:hAnsi="Arial" w:cs="Arial"/>
          <w:sz w:val="20"/>
          <w:szCs w:val="20"/>
        </w:rPr>
      </w:pPr>
      <w:r w:rsidRPr="003519B4">
        <w:rPr>
          <w:rFonts w:ascii="Arial" w:hAnsi="Arial" w:cs="Arial"/>
          <w:b/>
          <w:sz w:val="20"/>
          <w:szCs w:val="20"/>
        </w:rPr>
        <w:t xml:space="preserve">Verbeteringen in de opleiding laatste 2 jaar: </w:t>
      </w:r>
      <w:r w:rsidRPr="003519B4">
        <w:rPr>
          <w:rFonts w:ascii="Arial" w:hAnsi="Arial" w:cs="Arial"/>
          <w:sz w:val="20"/>
          <w:szCs w:val="20"/>
        </w:rPr>
        <w:t>De introductie leerlijn “</w:t>
      </w:r>
      <w:r>
        <w:rPr>
          <w:rFonts w:ascii="Arial" w:hAnsi="Arial" w:cs="Arial"/>
          <w:sz w:val="20"/>
          <w:szCs w:val="20"/>
        </w:rPr>
        <w:t>b</w:t>
      </w:r>
      <w:r w:rsidRPr="00ED79C3">
        <w:rPr>
          <w:rFonts w:ascii="Arial" w:hAnsi="Arial" w:cs="Arial"/>
          <w:sz w:val="20"/>
          <w:szCs w:val="20"/>
        </w:rPr>
        <w:t>eoordeling niertransplantatie ontvangers en potentiële donoren</w:t>
      </w:r>
      <w:r w:rsidRPr="003519B4">
        <w:rPr>
          <w:rFonts w:ascii="Arial" w:hAnsi="Arial" w:cs="Arial"/>
          <w:sz w:val="20"/>
          <w:szCs w:val="20"/>
        </w:rPr>
        <w:t>”. Hierdoor leert de nefroloog in opleiding de belangrijkste indicaties en (absolute en relatieve) contra-indicaties voor niertransplantatie en is in grote lijnen op de hoogte van het pre-transplantatie evaluatie proces. Daarnaast leert de nefroloog in opleiding de medische en ethische selectie criteria voor levende nierdonatie hanteren en toepassen. Daarnaast is er meer aandacht voor structureel onderwijs, wordt de voortgang van de nefrologen in opleiding maandelijks besproken met de gehele staf en is er een warme overdracht bij aanvang en na beëindiging perifere stage.</w:t>
      </w:r>
    </w:p>
    <w:p w:rsidR="00063C5A" w:rsidRPr="003519B4" w:rsidRDefault="00537314" w:rsidP="00063C5A">
      <w:pPr>
        <w:rPr>
          <w:rFonts w:ascii="Arial" w:hAnsi="Arial" w:cs="Arial"/>
          <w:sz w:val="20"/>
          <w:szCs w:val="20"/>
        </w:rPr>
      </w:pPr>
      <w:r>
        <w:rPr>
          <w:rFonts w:ascii="Arial" w:hAnsi="Arial" w:cs="Arial"/>
          <w:b/>
          <w:sz w:val="20"/>
          <w:szCs w:val="20"/>
        </w:rPr>
        <w:t>Tot slot de w</w:t>
      </w:r>
      <w:r w:rsidR="00063C5A" w:rsidRPr="003519B4">
        <w:rPr>
          <w:rFonts w:ascii="Arial" w:hAnsi="Arial" w:cs="Arial"/>
          <w:b/>
          <w:sz w:val="20"/>
          <w:szCs w:val="20"/>
        </w:rPr>
        <w:t xml:space="preserve">erkgelegenheid na differentiatie: </w:t>
      </w:r>
      <w:r w:rsidR="00063C5A" w:rsidRPr="003519B4">
        <w:rPr>
          <w:rFonts w:ascii="Arial" w:hAnsi="Arial" w:cs="Arial"/>
          <w:sz w:val="20"/>
          <w:szCs w:val="20"/>
        </w:rPr>
        <w:t>De baankansen voor nefrologen die in Rotterdam zijn opgeleid zijn</w:t>
      </w:r>
      <w:r w:rsidR="00063C5A" w:rsidRPr="003519B4">
        <w:rPr>
          <w:rFonts w:ascii="Arial" w:hAnsi="Arial" w:cs="Arial"/>
          <w:b/>
          <w:sz w:val="20"/>
          <w:szCs w:val="20"/>
        </w:rPr>
        <w:t xml:space="preserve"> </w:t>
      </w:r>
      <w:r w:rsidR="00063C5A" w:rsidRPr="003519B4">
        <w:rPr>
          <w:rFonts w:ascii="Arial" w:hAnsi="Arial" w:cs="Arial"/>
          <w:sz w:val="20"/>
          <w:szCs w:val="20"/>
        </w:rPr>
        <w:t>goed</w:t>
      </w:r>
      <w:r w:rsidR="00063C5A" w:rsidRPr="003519B4">
        <w:rPr>
          <w:rFonts w:ascii="Arial" w:hAnsi="Arial" w:cs="Arial"/>
          <w:b/>
          <w:sz w:val="20"/>
          <w:szCs w:val="20"/>
        </w:rPr>
        <w:t xml:space="preserve"> </w:t>
      </w:r>
      <w:r w:rsidR="00063C5A" w:rsidRPr="003519B4">
        <w:rPr>
          <w:rFonts w:ascii="Arial" w:hAnsi="Arial" w:cs="Arial"/>
          <w:sz w:val="20"/>
          <w:szCs w:val="20"/>
        </w:rPr>
        <w:t xml:space="preserve">en beter dan de cijfers uit de Werkgelegenheid enquête jonge klaren 2021 en 2023 (Interne Geneeskunde 2023;2:17-19). Sinds 2020 hebben 13 nefrologen hun opleiding afgerond (2020;4   2021;2  2022;5  2023;2). Per 1 juli 2023 hebben (of hadden) daarvan 9 nefrologen een vaste aanstelling. </w:t>
      </w:r>
      <w:proofErr w:type="spellStart"/>
      <w:r w:rsidR="00063C5A" w:rsidRPr="003519B4">
        <w:rPr>
          <w:rFonts w:ascii="Arial" w:hAnsi="Arial" w:cs="Arial"/>
          <w:sz w:val="20"/>
          <w:szCs w:val="20"/>
        </w:rPr>
        <w:t>Één</w:t>
      </w:r>
      <w:proofErr w:type="spellEnd"/>
      <w:r w:rsidR="002A7855" w:rsidRPr="003519B4">
        <w:rPr>
          <w:rFonts w:ascii="Arial" w:hAnsi="Arial" w:cs="Arial"/>
          <w:sz w:val="20"/>
          <w:szCs w:val="20"/>
        </w:rPr>
        <w:t xml:space="preserve"> nefroloog werkt als internist, </w:t>
      </w:r>
      <w:r w:rsidR="00065BF7" w:rsidRPr="003519B4">
        <w:rPr>
          <w:rFonts w:ascii="Arial" w:hAnsi="Arial" w:cs="Arial"/>
          <w:sz w:val="20"/>
          <w:szCs w:val="20"/>
        </w:rPr>
        <w:t>met een tijdelijk contract</w:t>
      </w:r>
      <w:r w:rsidR="00063C5A" w:rsidRPr="003519B4">
        <w:rPr>
          <w:rFonts w:ascii="Arial" w:hAnsi="Arial" w:cs="Arial"/>
          <w:sz w:val="20"/>
          <w:szCs w:val="20"/>
        </w:rPr>
        <w:t>.</w:t>
      </w:r>
    </w:p>
    <w:p w:rsidR="00063C5A" w:rsidRPr="003519B4" w:rsidRDefault="00063C5A" w:rsidP="00537314">
      <w:pPr>
        <w:spacing w:after="0"/>
        <w:rPr>
          <w:rFonts w:ascii="Arial" w:hAnsi="Arial" w:cs="Arial"/>
          <w:sz w:val="20"/>
          <w:szCs w:val="20"/>
        </w:rPr>
      </w:pPr>
      <w:r w:rsidRPr="003519B4">
        <w:rPr>
          <w:rFonts w:ascii="Arial" w:hAnsi="Arial" w:cs="Arial"/>
          <w:sz w:val="20"/>
          <w:szCs w:val="20"/>
        </w:rPr>
        <w:t>Vergelijkende cijfers specifiek voor differentie nefrologie</w:t>
      </w:r>
    </w:p>
    <w:tbl>
      <w:tblPr>
        <w:tblStyle w:val="Tabelraster"/>
        <w:tblW w:w="0" w:type="auto"/>
        <w:tblLook w:val="04A0" w:firstRow="1" w:lastRow="0" w:firstColumn="1" w:lastColumn="0" w:noHBand="0" w:noVBand="1"/>
      </w:tblPr>
      <w:tblGrid>
        <w:gridCol w:w="1555"/>
        <w:gridCol w:w="1701"/>
        <w:gridCol w:w="1701"/>
        <w:gridCol w:w="1984"/>
      </w:tblGrid>
      <w:tr w:rsidR="00063C5A" w:rsidRPr="003519B4" w:rsidTr="00065BF7">
        <w:tc>
          <w:tcPr>
            <w:tcW w:w="1555" w:type="dxa"/>
          </w:tcPr>
          <w:p w:rsidR="00063C5A" w:rsidRPr="003519B4" w:rsidRDefault="00063C5A" w:rsidP="00537314">
            <w:pPr>
              <w:rPr>
                <w:rFonts w:ascii="Arial" w:hAnsi="Arial" w:cs="Arial"/>
                <w:b/>
                <w:sz w:val="20"/>
                <w:szCs w:val="20"/>
              </w:rPr>
            </w:pPr>
          </w:p>
        </w:tc>
        <w:tc>
          <w:tcPr>
            <w:tcW w:w="1701" w:type="dxa"/>
          </w:tcPr>
          <w:p w:rsidR="00063C5A" w:rsidRPr="003519B4" w:rsidRDefault="00063C5A" w:rsidP="00537314">
            <w:pPr>
              <w:rPr>
                <w:rFonts w:ascii="Arial" w:hAnsi="Arial" w:cs="Arial"/>
                <w:b/>
                <w:sz w:val="20"/>
                <w:szCs w:val="20"/>
              </w:rPr>
            </w:pPr>
            <w:r w:rsidRPr="003519B4">
              <w:rPr>
                <w:rFonts w:ascii="Arial" w:hAnsi="Arial" w:cs="Arial"/>
                <w:b/>
                <w:sz w:val="20"/>
                <w:szCs w:val="20"/>
              </w:rPr>
              <w:t>Enquête  2021</w:t>
            </w:r>
          </w:p>
        </w:tc>
        <w:tc>
          <w:tcPr>
            <w:tcW w:w="1701" w:type="dxa"/>
          </w:tcPr>
          <w:p w:rsidR="00063C5A" w:rsidRPr="003519B4" w:rsidRDefault="00063C5A" w:rsidP="00537314">
            <w:pPr>
              <w:rPr>
                <w:rFonts w:ascii="Arial" w:hAnsi="Arial" w:cs="Arial"/>
                <w:b/>
                <w:sz w:val="20"/>
                <w:szCs w:val="20"/>
              </w:rPr>
            </w:pPr>
            <w:r w:rsidRPr="003519B4">
              <w:rPr>
                <w:rFonts w:ascii="Arial" w:hAnsi="Arial" w:cs="Arial"/>
                <w:b/>
                <w:sz w:val="20"/>
                <w:szCs w:val="20"/>
              </w:rPr>
              <w:t>Enquête 2023</w:t>
            </w:r>
          </w:p>
        </w:tc>
        <w:tc>
          <w:tcPr>
            <w:tcW w:w="1984" w:type="dxa"/>
          </w:tcPr>
          <w:p w:rsidR="00063C5A" w:rsidRPr="003519B4" w:rsidRDefault="00063C5A" w:rsidP="00537314">
            <w:pPr>
              <w:rPr>
                <w:rFonts w:ascii="Arial" w:hAnsi="Arial" w:cs="Arial"/>
                <w:b/>
                <w:sz w:val="20"/>
                <w:szCs w:val="20"/>
              </w:rPr>
            </w:pPr>
            <w:r w:rsidRPr="003519B4">
              <w:rPr>
                <w:rFonts w:ascii="Arial" w:hAnsi="Arial" w:cs="Arial"/>
                <w:b/>
                <w:sz w:val="20"/>
                <w:szCs w:val="20"/>
              </w:rPr>
              <w:t>Erasmus MC</w:t>
            </w:r>
            <w:r w:rsidR="00065BF7" w:rsidRPr="003519B4">
              <w:rPr>
                <w:rFonts w:ascii="Arial" w:hAnsi="Arial" w:cs="Arial"/>
                <w:b/>
                <w:sz w:val="20"/>
                <w:szCs w:val="20"/>
              </w:rPr>
              <w:t xml:space="preserve"> 2023</w:t>
            </w:r>
          </w:p>
        </w:tc>
      </w:tr>
      <w:tr w:rsidR="00063C5A" w:rsidRPr="003519B4" w:rsidTr="00065BF7">
        <w:tc>
          <w:tcPr>
            <w:tcW w:w="1555" w:type="dxa"/>
          </w:tcPr>
          <w:p w:rsidR="00063C5A" w:rsidRPr="003519B4" w:rsidRDefault="00063C5A" w:rsidP="00537314">
            <w:pPr>
              <w:rPr>
                <w:rFonts w:ascii="Arial" w:hAnsi="Arial" w:cs="Arial"/>
                <w:sz w:val="20"/>
                <w:szCs w:val="20"/>
              </w:rPr>
            </w:pPr>
            <w:r w:rsidRPr="003519B4">
              <w:rPr>
                <w:rFonts w:ascii="Arial" w:hAnsi="Arial" w:cs="Arial"/>
                <w:sz w:val="20"/>
                <w:szCs w:val="20"/>
              </w:rPr>
              <w:t>Vast contract</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47%</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47%</w:t>
            </w:r>
          </w:p>
        </w:tc>
        <w:tc>
          <w:tcPr>
            <w:tcW w:w="1984" w:type="dxa"/>
          </w:tcPr>
          <w:p w:rsidR="00063C5A" w:rsidRPr="003519B4" w:rsidRDefault="00063C5A" w:rsidP="00537314">
            <w:pPr>
              <w:rPr>
                <w:rFonts w:ascii="Arial" w:hAnsi="Arial" w:cs="Arial"/>
                <w:sz w:val="20"/>
                <w:szCs w:val="20"/>
              </w:rPr>
            </w:pPr>
            <w:r w:rsidRPr="003519B4">
              <w:rPr>
                <w:rFonts w:ascii="Arial" w:hAnsi="Arial" w:cs="Arial"/>
                <w:sz w:val="20"/>
                <w:szCs w:val="20"/>
              </w:rPr>
              <w:t>69%</w:t>
            </w:r>
          </w:p>
        </w:tc>
      </w:tr>
      <w:tr w:rsidR="00063C5A" w:rsidRPr="003519B4" w:rsidTr="00065BF7">
        <w:tc>
          <w:tcPr>
            <w:tcW w:w="1555" w:type="dxa"/>
          </w:tcPr>
          <w:p w:rsidR="00063C5A" w:rsidRPr="003519B4" w:rsidRDefault="00063C5A" w:rsidP="00537314">
            <w:pPr>
              <w:rPr>
                <w:rFonts w:ascii="Arial" w:hAnsi="Arial" w:cs="Arial"/>
                <w:sz w:val="20"/>
                <w:szCs w:val="20"/>
              </w:rPr>
            </w:pPr>
            <w:r w:rsidRPr="003519B4">
              <w:rPr>
                <w:rFonts w:ascii="Arial" w:hAnsi="Arial" w:cs="Arial"/>
                <w:sz w:val="20"/>
                <w:szCs w:val="20"/>
              </w:rPr>
              <w:t>Tijdelijk</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48%</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42%</w:t>
            </w:r>
          </w:p>
        </w:tc>
        <w:tc>
          <w:tcPr>
            <w:tcW w:w="1984" w:type="dxa"/>
          </w:tcPr>
          <w:p w:rsidR="00063C5A" w:rsidRPr="003519B4" w:rsidRDefault="00063C5A" w:rsidP="00537314">
            <w:pPr>
              <w:rPr>
                <w:rFonts w:ascii="Arial" w:hAnsi="Arial" w:cs="Arial"/>
                <w:sz w:val="20"/>
                <w:szCs w:val="20"/>
              </w:rPr>
            </w:pPr>
            <w:r w:rsidRPr="003519B4">
              <w:rPr>
                <w:rFonts w:ascii="Arial" w:hAnsi="Arial" w:cs="Arial"/>
                <w:sz w:val="20"/>
                <w:szCs w:val="20"/>
              </w:rPr>
              <w:t>23%</w:t>
            </w:r>
          </w:p>
        </w:tc>
      </w:tr>
      <w:tr w:rsidR="00063C5A" w:rsidRPr="003519B4" w:rsidTr="00065BF7">
        <w:tc>
          <w:tcPr>
            <w:tcW w:w="1555" w:type="dxa"/>
          </w:tcPr>
          <w:p w:rsidR="00063C5A" w:rsidRPr="003519B4" w:rsidRDefault="00063C5A" w:rsidP="00537314">
            <w:pPr>
              <w:rPr>
                <w:rFonts w:ascii="Arial" w:hAnsi="Arial" w:cs="Arial"/>
                <w:sz w:val="20"/>
                <w:szCs w:val="20"/>
              </w:rPr>
            </w:pPr>
            <w:r w:rsidRPr="003519B4">
              <w:rPr>
                <w:rFonts w:ascii="Arial" w:hAnsi="Arial" w:cs="Arial"/>
                <w:sz w:val="20"/>
                <w:szCs w:val="20"/>
              </w:rPr>
              <w:t>Werkloos</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2%</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3%</w:t>
            </w:r>
          </w:p>
        </w:tc>
        <w:tc>
          <w:tcPr>
            <w:tcW w:w="1984" w:type="dxa"/>
          </w:tcPr>
          <w:p w:rsidR="00063C5A" w:rsidRPr="003519B4" w:rsidRDefault="00063C5A" w:rsidP="00537314">
            <w:pPr>
              <w:rPr>
                <w:rFonts w:ascii="Arial" w:hAnsi="Arial" w:cs="Arial"/>
                <w:sz w:val="20"/>
                <w:szCs w:val="20"/>
              </w:rPr>
            </w:pPr>
            <w:r w:rsidRPr="003519B4">
              <w:rPr>
                <w:rFonts w:ascii="Arial" w:hAnsi="Arial" w:cs="Arial"/>
                <w:sz w:val="20"/>
                <w:szCs w:val="20"/>
              </w:rPr>
              <w:t>0%</w:t>
            </w:r>
          </w:p>
        </w:tc>
      </w:tr>
      <w:tr w:rsidR="00063C5A" w:rsidRPr="003519B4" w:rsidTr="00065BF7">
        <w:tc>
          <w:tcPr>
            <w:tcW w:w="1555" w:type="dxa"/>
          </w:tcPr>
          <w:p w:rsidR="00063C5A" w:rsidRPr="003519B4" w:rsidRDefault="00063C5A" w:rsidP="00537314">
            <w:pPr>
              <w:rPr>
                <w:rFonts w:ascii="Arial" w:hAnsi="Arial" w:cs="Arial"/>
                <w:sz w:val="20"/>
                <w:szCs w:val="20"/>
              </w:rPr>
            </w:pPr>
            <w:r w:rsidRPr="003519B4">
              <w:rPr>
                <w:rFonts w:ascii="Arial" w:hAnsi="Arial" w:cs="Arial"/>
                <w:sz w:val="20"/>
                <w:szCs w:val="20"/>
              </w:rPr>
              <w:t>Overig</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3%</w:t>
            </w:r>
          </w:p>
        </w:tc>
        <w:tc>
          <w:tcPr>
            <w:tcW w:w="1701" w:type="dxa"/>
          </w:tcPr>
          <w:p w:rsidR="00063C5A" w:rsidRPr="003519B4" w:rsidRDefault="00063C5A" w:rsidP="00537314">
            <w:pPr>
              <w:rPr>
                <w:rFonts w:ascii="Arial" w:hAnsi="Arial" w:cs="Arial"/>
                <w:sz w:val="20"/>
                <w:szCs w:val="20"/>
              </w:rPr>
            </w:pPr>
            <w:r w:rsidRPr="003519B4">
              <w:rPr>
                <w:rFonts w:ascii="Arial" w:hAnsi="Arial" w:cs="Arial"/>
                <w:sz w:val="20"/>
                <w:szCs w:val="20"/>
              </w:rPr>
              <w:t>8%</w:t>
            </w:r>
          </w:p>
        </w:tc>
        <w:tc>
          <w:tcPr>
            <w:tcW w:w="1984" w:type="dxa"/>
          </w:tcPr>
          <w:p w:rsidR="00063C5A" w:rsidRPr="003519B4" w:rsidRDefault="00063C5A" w:rsidP="00537314">
            <w:pPr>
              <w:rPr>
                <w:rFonts w:ascii="Arial" w:hAnsi="Arial" w:cs="Arial"/>
                <w:sz w:val="20"/>
                <w:szCs w:val="20"/>
              </w:rPr>
            </w:pPr>
            <w:r w:rsidRPr="003519B4">
              <w:rPr>
                <w:rFonts w:ascii="Arial" w:hAnsi="Arial" w:cs="Arial"/>
                <w:sz w:val="20"/>
                <w:szCs w:val="20"/>
              </w:rPr>
              <w:t>8%</w:t>
            </w:r>
          </w:p>
        </w:tc>
      </w:tr>
    </w:tbl>
    <w:p w:rsidR="003519B4" w:rsidRDefault="003519B4" w:rsidP="00537314">
      <w:pPr>
        <w:spacing w:after="0"/>
        <w:rPr>
          <w:rFonts w:ascii="Arial" w:hAnsi="Arial" w:cs="Arial"/>
          <w:sz w:val="20"/>
          <w:szCs w:val="20"/>
        </w:rPr>
      </w:pPr>
    </w:p>
    <w:p w:rsidR="00063C5A" w:rsidRPr="003519B4" w:rsidRDefault="00063C5A" w:rsidP="00537314">
      <w:pPr>
        <w:spacing w:after="0"/>
        <w:rPr>
          <w:rFonts w:ascii="Arial" w:hAnsi="Arial" w:cs="Arial"/>
          <w:sz w:val="20"/>
          <w:szCs w:val="20"/>
        </w:rPr>
      </w:pPr>
      <w:r w:rsidRPr="003519B4">
        <w:rPr>
          <w:rFonts w:ascii="Arial" w:hAnsi="Arial" w:cs="Arial"/>
          <w:sz w:val="20"/>
          <w:szCs w:val="20"/>
        </w:rPr>
        <w:t>Vast contract per uitstroomjaar volgens jonge klaren enquête 2023</w:t>
      </w:r>
    </w:p>
    <w:tbl>
      <w:tblPr>
        <w:tblStyle w:val="Tabelraster"/>
        <w:tblW w:w="0" w:type="auto"/>
        <w:tblLook w:val="04A0" w:firstRow="1" w:lastRow="0" w:firstColumn="1" w:lastColumn="0" w:noHBand="0" w:noVBand="1"/>
      </w:tblPr>
      <w:tblGrid>
        <w:gridCol w:w="704"/>
        <w:gridCol w:w="3402"/>
        <w:gridCol w:w="1985"/>
      </w:tblGrid>
      <w:tr w:rsidR="00063C5A" w:rsidRPr="003519B4" w:rsidTr="00065BF7">
        <w:tc>
          <w:tcPr>
            <w:tcW w:w="704" w:type="dxa"/>
          </w:tcPr>
          <w:p w:rsidR="00063C5A" w:rsidRPr="003519B4" w:rsidRDefault="00063C5A" w:rsidP="00537314">
            <w:pPr>
              <w:rPr>
                <w:rFonts w:ascii="Arial" w:hAnsi="Arial" w:cs="Arial"/>
                <w:b/>
                <w:sz w:val="20"/>
                <w:szCs w:val="20"/>
              </w:rPr>
            </w:pPr>
          </w:p>
        </w:tc>
        <w:tc>
          <w:tcPr>
            <w:tcW w:w="3402" w:type="dxa"/>
          </w:tcPr>
          <w:p w:rsidR="00063C5A" w:rsidRPr="003519B4" w:rsidRDefault="00063C5A" w:rsidP="00537314">
            <w:pPr>
              <w:rPr>
                <w:rFonts w:ascii="Arial" w:hAnsi="Arial" w:cs="Arial"/>
                <w:b/>
                <w:sz w:val="20"/>
                <w:szCs w:val="20"/>
              </w:rPr>
            </w:pPr>
            <w:r w:rsidRPr="003519B4">
              <w:rPr>
                <w:rFonts w:ascii="Arial" w:hAnsi="Arial" w:cs="Arial"/>
                <w:b/>
                <w:sz w:val="20"/>
                <w:szCs w:val="20"/>
              </w:rPr>
              <w:t>Enquête 2023 (alle differentiaties)</w:t>
            </w:r>
          </w:p>
        </w:tc>
        <w:tc>
          <w:tcPr>
            <w:tcW w:w="1985" w:type="dxa"/>
          </w:tcPr>
          <w:p w:rsidR="00063C5A" w:rsidRPr="003519B4" w:rsidRDefault="00063C5A" w:rsidP="00537314">
            <w:pPr>
              <w:rPr>
                <w:rFonts w:ascii="Arial" w:hAnsi="Arial" w:cs="Arial"/>
                <w:b/>
                <w:sz w:val="20"/>
                <w:szCs w:val="20"/>
              </w:rPr>
            </w:pPr>
            <w:r w:rsidRPr="003519B4">
              <w:rPr>
                <w:rFonts w:ascii="Arial" w:hAnsi="Arial" w:cs="Arial"/>
                <w:b/>
                <w:sz w:val="20"/>
                <w:szCs w:val="20"/>
              </w:rPr>
              <w:t>Erasmus MC</w:t>
            </w:r>
            <w:r w:rsidR="00065BF7" w:rsidRPr="003519B4">
              <w:rPr>
                <w:rFonts w:ascii="Arial" w:hAnsi="Arial" w:cs="Arial"/>
                <w:b/>
                <w:sz w:val="20"/>
                <w:szCs w:val="20"/>
              </w:rPr>
              <w:t xml:space="preserve"> 2023</w:t>
            </w:r>
          </w:p>
        </w:tc>
      </w:tr>
      <w:tr w:rsidR="00063C5A" w:rsidRPr="003519B4" w:rsidTr="00065BF7">
        <w:tc>
          <w:tcPr>
            <w:tcW w:w="704" w:type="dxa"/>
          </w:tcPr>
          <w:p w:rsidR="00063C5A" w:rsidRPr="003519B4" w:rsidRDefault="00063C5A" w:rsidP="00537314">
            <w:pPr>
              <w:rPr>
                <w:rFonts w:ascii="Arial" w:hAnsi="Arial" w:cs="Arial"/>
                <w:sz w:val="20"/>
                <w:szCs w:val="20"/>
              </w:rPr>
            </w:pPr>
            <w:r w:rsidRPr="003519B4">
              <w:rPr>
                <w:rFonts w:ascii="Arial" w:hAnsi="Arial" w:cs="Arial"/>
                <w:sz w:val="20"/>
                <w:szCs w:val="20"/>
              </w:rPr>
              <w:t>2023</w:t>
            </w:r>
          </w:p>
        </w:tc>
        <w:tc>
          <w:tcPr>
            <w:tcW w:w="3402" w:type="dxa"/>
          </w:tcPr>
          <w:p w:rsidR="00063C5A" w:rsidRPr="003519B4" w:rsidRDefault="00063C5A" w:rsidP="00537314">
            <w:pPr>
              <w:rPr>
                <w:rFonts w:ascii="Arial" w:hAnsi="Arial" w:cs="Arial"/>
                <w:sz w:val="20"/>
                <w:szCs w:val="20"/>
              </w:rPr>
            </w:pPr>
            <w:r w:rsidRPr="003519B4">
              <w:rPr>
                <w:rFonts w:ascii="Arial" w:hAnsi="Arial" w:cs="Arial"/>
                <w:sz w:val="20"/>
                <w:szCs w:val="20"/>
              </w:rPr>
              <w:t>n/a</w:t>
            </w:r>
          </w:p>
        </w:tc>
        <w:tc>
          <w:tcPr>
            <w:tcW w:w="1985" w:type="dxa"/>
          </w:tcPr>
          <w:p w:rsidR="00063C5A" w:rsidRPr="003519B4" w:rsidRDefault="00063C5A" w:rsidP="00537314">
            <w:pPr>
              <w:rPr>
                <w:rFonts w:ascii="Arial" w:hAnsi="Arial" w:cs="Arial"/>
                <w:sz w:val="20"/>
                <w:szCs w:val="20"/>
              </w:rPr>
            </w:pPr>
            <w:r w:rsidRPr="003519B4">
              <w:rPr>
                <w:rFonts w:ascii="Arial" w:hAnsi="Arial" w:cs="Arial"/>
                <w:sz w:val="20"/>
                <w:szCs w:val="20"/>
              </w:rPr>
              <w:t>0%</w:t>
            </w:r>
          </w:p>
        </w:tc>
      </w:tr>
      <w:tr w:rsidR="00063C5A" w:rsidRPr="003519B4" w:rsidTr="00065BF7">
        <w:tc>
          <w:tcPr>
            <w:tcW w:w="704" w:type="dxa"/>
          </w:tcPr>
          <w:p w:rsidR="00063C5A" w:rsidRPr="003519B4" w:rsidRDefault="00063C5A" w:rsidP="00537314">
            <w:pPr>
              <w:rPr>
                <w:rFonts w:ascii="Arial" w:hAnsi="Arial" w:cs="Arial"/>
                <w:sz w:val="20"/>
                <w:szCs w:val="20"/>
              </w:rPr>
            </w:pPr>
            <w:r w:rsidRPr="003519B4">
              <w:rPr>
                <w:rFonts w:ascii="Arial" w:hAnsi="Arial" w:cs="Arial"/>
                <w:sz w:val="20"/>
                <w:szCs w:val="20"/>
              </w:rPr>
              <w:t>2022</w:t>
            </w:r>
          </w:p>
        </w:tc>
        <w:tc>
          <w:tcPr>
            <w:tcW w:w="3402" w:type="dxa"/>
          </w:tcPr>
          <w:p w:rsidR="00063C5A" w:rsidRPr="003519B4" w:rsidRDefault="00063C5A" w:rsidP="00537314">
            <w:pPr>
              <w:rPr>
                <w:rFonts w:ascii="Arial" w:hAnsi="Arial" w:cs="Arial"/>
                <w:sz w:val="20"/>
                <w:szCs w:val="20"/>
              </w:rPr>
            </w:pPr>
            <w:r w:rsidRPr="003519B4">
              <w:rPr>
                <w:rFonts w:ascii="Arial" w:hAnsi="Arial" w:cs="Arial"/>
                <w:sz w:val="20"/>
                <w:szCs w:val="20"/>
              </w:rPr>
              <w:t>20%</w:t>
            </w:r>
          </w:p>
        </w:tc>
        <w:tc>
          <w:tcPr>
            <w:tcW w:w="1985" w:type="dxa"/>
          </w:tcPr>
          <w:p w:rsidR="00063C5A" w:rsidRPr="003519B4" w:rsidRDefault="00063C5A" w:rsidP="00537314">
            <w:pPr>
              <w:rPr>
                <w:rFonts w:ascii="Arial" w:hAnsi="Arial" w:cs="Arial"/>
                <w:sz w:val="20"/>
                <w:szCs w:val="20"/>
              </w:rPr>
            </w:pPr>
            <w:r w:rsidRPr="003519B4">
              <w:rPr>
                <w:rFonts w:ascii="Arial" w:hAnsi="Arial" w:cs="Arial"/>
                <w:sz w:val="20"/>
                <w:szCs w:val="20"/>
              </w:rPr>
              <w:t>60%</w:t>
            </w:r>
          </w:p>
        </w:tc>
      </w:tr>
      <w:tr w:rsidR="00063C5A" w:rsidRPr="003519B4" w:rsidTr="00065BF7">
        <w:tc>
          <w:tcPr>
            <w:tcW w:w="704" w:type="dxa"/>
          </w:tcPr>
          <w:p w:rsidR="00063C5A" w:rsidRPr="003519B4" w:rsidRDefault="00063C5A" w:rsidP="00537314">
            <w:pPr>
              <w:rPr>
                <w:rFonts w:ascii="Arial" w:hAnsi="Arial" w:cs="Arial"/>
                <w:sz w:val="20"/>
                <w:szCs w:val="20"/>
              </w:rPr>
            </w:pPr>
            <w:r w:rsidRPr="003519B4">
              <w:rPr>
                <w:rFonts w:ascii="Arial" w:hAnsi="Arial" w:cs="Arial"/>
                <w:sz w:val="20"/>
                <w:szCs w:val="20"/>
              </w:rPr>
              <w:t>2021</w:t>
            </w:r>
          </w:p>
        </w:tc>
        <w:tc>
          <w:tcPr>
            <w:tcW w:w="3402" w:type="dxa"/>
          </w:tcPr>
          <w:p w:rsidR="00063C5A" w:rsidRPr="003519B4" w:rsidRDefault="00063C5A" w:rsidP="00537314">
            <w:pPr>
              <w:rPr>
                <w:rFonts w:ascii="Arial" w:hAnsi="Arial" w:cs="Arial"/>
                <w:sz w:val="20"/>
                <w:szCs w:val="20"/>
              </w:rPr>
            </w:pPr>
            <w:r w:rsidRPr="003519B4">
              <w:rPr>
                <w:rFonts w:ascii="Arial" w:hAnsi="Arial" w:cs="Arial"/>
                <w:sz w:val="20"/>
                <w:szCs w:val="20"/>
              </w:rPr>
              <w:t>45%</w:t>
            </w:r>
          </w:p>
        </w:tc>
        <w:tc>
          <w:tcPr>
            <w:tcW w:w="1985" w:type="dxa"/>
          </w:tcPr>
          <w:p w:rsidR="00063C5A" w:rsidRPr="003519B4" w:rsidRDefault="00063C5A" w:rsidP="00537314">
            <w:pPr>
              <w:rPr>
                <w:rFonts w:ascii="Arial" w:hAnsi="Arial" w:cs="Arial"/>
                <w:sz w:val="20"/>
                <w:szCs w:val="20"/>
              </w:rPr>
            </w:pPr>
            <w:r w:rsidRPr="003519B4">
              <w:rPr>
                <w:rFonts w:ascii="Arial" w:hAnsi="Arial" w:cs="Arial"/>
                <w:sz w:val="20"/>
                <w:szCs w:val="20"/>
              </w:rPr>
              <w:t>100%</w:t>
            </w:r>
          </w:p>
        </w:tc>
      </w:tr>
      <w:tr w:rsidR="00063C5A" w:rsidRPr="003519B4" w:rsidTr="00065BF7">
        <w:tc>
          <w:tcPr>
            <w:tcW w:w="704" w:type="dxa"/>
          </w:tcPr>
          <w:p w:rsidR="00063C5A" w:rsidRPr="003519B4" w:rsidRDefault="00063C5A" w:rsidP="00537314">
            <w:pPr>
              <w:rPr>
                <w:rFonts w:ascii="Arial" w:hAnsi="Arial" w:cs="Arial"/>
                <w:sz w:val="20"/>
                <w:szCs w:val="20"/>
              </w:rPr>
            </w:pPr>
            <w:r w:rsidRPr="003519B4">
              <w:rPr>
                <w:rFonts w:ascii="Arial" w:hAnsi="Arial" w:cs="Arial"/>
                <w:sz w:val="20"/>
                <w:szCs w:val="20"/>
              </w:rPr>
              <w:t>2020</w:t>
            </w:r>
          </w:p>
        </w:tc>
        <w:tc>
          <w:tcPr>
            <w:tcW w:w="3402" w:type="dxa"/>
          </w:tcPr>
          <w:p w:rsidR="00063C5A" w:rsidRPr="003519B4" w:rsidRDefault="00063C5A" w:rsidP="00537314">
            <w:pPr>
              <w:rPr>
                <w:rFonts w:ascii="Arial" w:hAnsi="Arial" w:cs="Arial"/>
                <w:sz w:val="20"/>
                <w:szCs w:val="20"/>
              </w:rPr>
            </w:pPr>
            <w:r w:rsidRPr="003519B4">
              <w:rPr>
                <w:rFonts w:ascii="Arial" w:hAnsi="Arial" w:cs="Arial"/>
                <w:sz w:val="20"/>
                <w:szCs w:val="20"/>
              </w:rPr>
              <w:t>65%</w:t>
            </w:r>
          </w:p>
        </w:tc>
        <w:tc>
          <w:tcPr>
            <w:tcW w:w="1985" w:type="dxa"/>
          </w:tcPr>
          <w:p w:rsidR="00063C5A" w:rsidRPr="003519B4" w:rsidRDefault="00063C5A" w:rsidP="00537314">
            <w:pPr>
              <w:rPr>
                <w:rFonts w:ascii="Arial" w:hAnsi="Arial" w:cs="Arial"/>
                <w:sz w:val="20"/>
                <w:szCs w:val="20"/>
              </w:rPr>
            </w:pPr>
            <w:r w:rsidRPr="003519B4">
              <w:rPr>
                <w:rFonts w:ascii="Arial" w:hAnsi="Arial" w:cs="Arial"/>
                <w:sz w:val="20"/>
                <w:szCs w:val="20"/>
              </w:rPr>
              <w:t>100%</w:t>
            </w:r>
          </w:p>
        </w:tc>
      </w:tr>
    </w:tbl>
    <w:p w:rsidR="00537314" w:rsidRDefault="00537314" w:rsidP="00537314">
      <w:pPr>
        <w:spacing w:after="0"/>
        <w:rPr>
          <w:rFonts w:ascii="Arial" w:hAnsi="Arial" w:cs="Arial"/>
          <w:sz w:val="20"/>
          <w:szCs w:val="20"/>
        </w:rPr>
      </w:pPr>
    </w:p>
    <w:p w:rsidR="002A7855" w:rsidRPr="00537314" w:rsidRDefault="00065BF7" w:rsidP="00537314">
      <w:pPr>
        <w:spacing w:after="0"/>
        <w:rPr>
          <w:rFonts w:ascii="Arial" w:hAnsi="Arial" w:cs="Arial"/>
          <w:sz w:val="20"/>
          <w:szCs w:val="20"/>
        </w:rPr>
      </w:pPr>
      <w:r w:rsidRPr="003519B4">
        <w:rPr>
          <w:rFonts w:ascii="Arial" w:hAnsi="Arial" w:cs="Arial"/>
          <w:sz w:val="20"/>
          <w:szCs w:val="20"/>
        </w:rPr>
        <w:t xml:space="preserve">62% van de nefrologen heeft na de opleiding binnen 3 jaar een vaste aanstelling (57% van alle jonge klaren volgens de enquête) waarbij ook nog dient aangemerkt te worden dat 4 nefrologen (2022;2 en 2023;2) kort geleden de opleiding hebben afgerond (&lt;1 jaar geleden). </w:t>
      </w:r>
      <w:bookmarkStart w:id="0" w:name="_GoBack"/>
      <w:bookmarkEnd w:id="0"/>
    </w:p>
    <w:sectPr w:rsidR="002A7855" w:rsidRPr="00537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6FF"/>
    <w:multiLevelType w:val="hybridMultilevel"/>
    <w:tmpl w:val="0E542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5049C4"/>
    <w:multiLevelType w:val="hybridMultilevel"/>
    <w:tmpl w:val="6368E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2E3EA4"/>
    <w:multiLevelType w:val="hybridMultilevel"/>
    <w:tmpl w:val="BAF4B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49"/>
    <w:rsid w:val="00063C5A"/>
    <w:rsid w:val="00065BF7"/>
    <w:rsid w:val="002A7855"/>
    <w:rsid w:val="003519B4"/>
    <w:rsid w:val="00360C49"/>
    <w:rsid w:val="004E0450"/>
    <w:rsid w:val="00530C48"/>
    <w:rsid w:val="00537314"/>
    <w:rsid w:val="0057742C"/>
    <w:rsid w:val="005F7B7E"/>
    <w:rsid w:val="006A00B5"/>
    <w:rsid w:val="0072412E"/>
    <w:rsid w:val="007D30A1"/>
    <w:rsid w:val="008C0DA2"/>
    <w:rsid w:val="00AE66E5"/>
    <w:rsid w:val="00B57BBA"/>
    <w:rsid w:val="00C13ADF"/>
    <w:rsid w:val="00C368B9"/>
    <w:rsid w:val="00C73B05"/>
    <w:rsid w:val="00ED79C3"/>
    <w:rsid w:val="00F36B61"/>
    <w:rsid w:val="00F4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6519"/>
  <w15:chartTrackingRefBased/>
  <w15:docId w15:val="{6E5E92B0-06AF-4062-A070-62A6FC6D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412E"/>
    <w:rPr>
      <w:color w:val="0563C1" w:themeColor="hyperlink"/>
      <w:u w:val="single"/>
    </w:rPr>
  </w:style>
  <w:style w:type="paragraph" w:styleId="Normaalweb">
    <w:name w:val="Normal (Web)"/>
    <w:basedOn w:val="Standaard"/>
    <w:uiPriority w:val="99"/>
    <w:semiHidden/>
    <w:unhideWhenUsed/>
    <w:rsid w:val="007241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2412E"/>
    <w:rPr>
      <w:b/>
      <w:bCs/>
    </w:rPr>
  </w:style>
  <w:style w:type="table" w:styleId="Tabelraster">
    <w:name w:val="Table Grid"/>
    <w:basedOn w:val="Standaardtabel"/>
    <w:uiPriority w:val="39"/>
    <w:rsid w:val="000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04745">
      <w:bodyDiv w:val="1"/>
      <w:marLeft w:val="0"/>
      <w:marRight w:val="0"/>
      <w:marTop w:val="0"/>
      <w:marBottom w:val="0"/>
      <w:divBdr>
        <w:top w:val="none" w:sz="0" w:space="0" w:color="auto"/>
        <w:left w:val="none" w:sz="0" w:space="0" w:color="auto"/>
        <w:bottom w:val="none" w:sz="0" w:space="0" w:color="auto"/>
        <w:right w:val="none" w:sz="0" w:space="0" w:color="auto"/>
      </w:divBdr>
    </w:div>
    <w:div w:id="1418940650">
      <w:bodyDiv w:val="1"/>
      <w:marLeft w:val="0"/>
      <w:marRight w:val="0"/>
      <w:marTop w:val="0"/>
      <w:marBottom w:val="0"/>
      <w:divBdr>
        <w:top w:val="none" w:sz="0" w:space="0" w:color="auto"/>
        <w:left w:val="none" w:sz="0" w:space="0" w:color="auto"/>
        <w:bottom w:val="none" w:sz="0" w:space="0" w:color="auto"/>
        <w:right w:val="none" w:sz="0" w:space="0" w:color="auto"/>
      </w:divBdr>
    </w:div>
    <w:div w:id="21137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secretariaat.nefrologie@erasmusmc.nl" TargetMode="External"/><Relationship Id="rId5" Type="http://schemas.openxmlformats.org/officeDocument/2006/relationships/hyperlink" Target="mailto:m.vandenhoogen@erasmusm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924</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Erasmus MC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den Hoogen</dc:creator>
  <cp:keywords/>
  <dc:description/>
  <cp:lastModifiedBy>Martijn van den Hoogen</cp:lastModifiedBy>
  <cp:revision>4</cp:revision>
  <dcterms:created xsi:type="dcterms:W3CDTF">2023-07-11T14:28:00Z</dcterms:created>
  <dcterms:modified xsi:type="dcterms:W3CDTF">2023-08-18T13:35:00Z</dcterms:modified>
</cp:coreProperties>
</file>